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法学院“雏鹰扶持计划”子基金管理使用实施细则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为深入推进法学院国际化办学进程，培养具有国际视野和国际竞争力的高素质人才，法学院在“中南法学一流学科建设基金”下设“雏鹰扶持计划”子基金，鼓励更多法学院学子参加出国交流项目。为规范、合理使用基金，制定本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第一条 </w:t>
      </w:r>
      <w:r>
        <w:rPr>
          <w:rStyle w:val="5"/>
          <w:rFonts w:hint="eastAsia" w:ascii="仿宋" w:hAnsi="仿宋" w:eastAsia="仿宋" w:cs="仿宋"/>
          <w:i w:val="0"/>
          <w:caps w:val="0"/>
          <w:color w:val="000000"/>
          <w:spacing w:val="0"/>
          <w:kern w:val="0"/>
          <w:sz w:val="28"/>
          <w:szCs w:val="28"/>
          <w:lang w:val="en-US" w:eastAsia="zh-CN" w:bidi="ar"/>
        </w:rPr>
        <w:t>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1、法学专业全日制在籍本科生、硕士生、博士生。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2、遵守国家法律法规及校规校纪，品行端正，无违法违纪行为。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3、学习态度端正，勤奋刻苦，成绩优良，无不及格课程。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4、获得教育部认定的国外正规大学法学专业交流项目的邀请信或录取函。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5、已申请当年国家留学基金委资助。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第二条 </w:t>
      </w:r>
      <w:r>
        <w:rPr>
          <w:rStyle w:val="5"/>
          <w:rFonts w:hint="eastAsia" w:ascii="仿宋" w:hAnsi="仿宋" w:eastAsia="仿宋" w:cs="仿宋"/>
          <w:i w:val="0"/>
          <w:caps w:val="0"/>
          <w:color w:val="000000"/>
          <w:spacing w:val="0"/>
          <w:kern w:val="0"/>
          <w:sz w:val="28"/>
          <w:szCs w:val="28"/>
          <w:lang w:val="en-US" w:eastAsia="zh-CN" w:bidi="ar"/>
        </w:rPr>
        <w:t>资助类型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1、经学校、学院组织选拔的短期实习、冬夏令营。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2、经学校、学院组织选拔的为期三个月以上的交换生项目、访问学者项目。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3、国外攻读学位。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第三条 </w:t>
      </w:r>
      <w:r>
        <w:rPr>
          <w:rStyle w:val="5"/>
          <w:rFonts w:hint="eastAsia" w:ascii="仿宋" w:hAnsi="仿宋" w:eastAsia="仿宋" w:cs="仿宋"/>
          <w:i w:val="0"/>
          <w:caps w:val="0"/>
          <w:color w:val="000000"/>
          <w:spacing w:val="0"/>
          <w:kern w:val="0"/>
          <w:sz w:val="28"/>
          <w:szCs w:val="28"/>
          <w:lang w:val="en-US" w:eastAsia="zh-CN" w:bidi="ar"/>
        </w:rPr>
        <w:t>资助金额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1、短期实习、冬夏令营：每个项目资助1人，每人资助1万元，一年内资助总额原则上不超过10万元。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2、交换生项目、访问学者：每个项目资助2人。按国家公派留学人员奖学金资助标准的70%予以资助。一年内资助总额原则上不超过60万元。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3、攻读学位：攻读硕士学位，一、二类学校分别资助15万元、10万元；攻读博士学位，一、二类学校分别资助20万元、15万元。一年内资助总额原则上不超过130万元。一、二类学校参考目录见附件。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第四条 </w:t>
      </w:r>
      <w:r>
        <w:rPr>
          <w:rStyle w:val="5"/>
          <w:rFonts w:hint="eastAsia" w:ascii="仿宋" w:hAnsi="仿宋" w:eastAsia="仿宋" w:cs="仿宋"/>
          <w:i w:val="0"/>
          <w:caps w:val="0"/>
          <w:color w:val="000000"/>
          <w:spacing w:val="0"/>
          <w:kern w:val="0"/>
          <w:sz w:val="28"/>
          <w:szCs w:val="28"/>
          <w:lang w:val="en-US" w:eastAsia="zh-CN" w:bidi="ar"/>
        </w:rPr>
        <w:t>遴选程序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1、遴选时间：每学年春季学期启动当学年评选工作。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2、遴选程序：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（1）学生根据申请条件自愿报名，向学院提交录取证明、成绩单、外语水平证明件、荣誉证书复印件等相关材料。本科生提交至法学院学生工作办公室，研究生提交至研究生工作办公室。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（2）法学院进行资格审核，初审后提交法学一流学科建设执行委员会。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（3）法学一流学科建设执行委员会根据项目情况、学生个人情况、年度基金额度确定每年资助名单、资助人数和资助额度。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第五条 </w:t>
      </w:r>
      <w:r>
        <w:rPr>
          <w:rStyle w:val="5"/>
          <w:rFonts w:hint="eastAsia" w:ascii="仿宋" w:hAnsi="仿宋" w:eastAsia="仿宋" w:cs="仿宋"/>
          <w:i w:val="0"/>
          <w:caps w:val="0"/>
          <w:color w:val="000000"/>
          <w:spacing w:val="0"/>
          <w:kern w:val="0"/>
          <w:sz w:val="28"/>
          <w:szCs w:val="28"/>
          <w:lang w:val="en-US" w:eastAsia="zh-CN" w:bidi="ar"/>
        </w:rPr>
        <w:t>遴选标准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本基金每年使用总额度不超过200万元。法学一流学科建设执行委员会根据当年资金使用情况和申请人的学业成绩、语言水平、家庭经济情况、出访地区的吃住行条件等综合评定，可适当调整各类交流项目的资金使用额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2、攻读学位的学生，若就读学校不在本细则规定的一、二类学校参考目录内，亦可提出申请，由法学一流学科建设执行委员会评审决定是否予以资助。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3、获得国家留学基金委的资助和作为师资储备人才赴国外攻读学位的，不再接受本基金资助。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4、申请学生若已获得高于本基金标准的其他资助，则不再提供资助；若所获其他资助低于本基</w:t>
      </w:r>
      <w:bookmarkStart w:id="0" w:name="_GoBack"/>
      <w:bookmarkEnd w:id="0"/>
      <w:r>
        <w:rPr>
          <w:rFonts w:hint="eastAsia" w:ascii="仿宋" w:hAnsi="仿宋" w:eastAsia="仿宋" w:cs="仿宋"/>
          <w:i w:val="0"/>
          <w:caps w:val="0"/>
          <w:color w:val="000000"/>
          <w:spacing w:val="0"/>
          <w:kern w:val="0"/>
          <w:sz w:val="28"/>
          <w:szCs w:val="28"/>
          <w:lang w:val="en-US" w:eastAsia="zh-CN" w:bidi="ar"/>
        </w:rPr>
        <w:t>金标资，则按本标准补齐差额。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5、对家庭条件特别困难、学习成绩特别优秀、交流学校特别知名的学生，经法学一流学科建设执行委员会评审同意，可予以全额资助。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第六条 </w:t>
      </w:r>
      <w:r>
        <w:rPr>
          <w:rStyle w:val="5"/>
          <w:rFonts w:hint="eastAsia" w:ascii="仿宋" w:hAnsi="仿宋" w:eastAsia="仿宋" w:cs="仿宋"/>
          <w:i w:val="0"/>
          <w:caps w:val="0"/>
          <w:color w:val="000000"/>
          <w:spacing w:val="0"/>
          <w:kern w:val="0"/>
          <w:sz w:val="28"/>
          <w:szCs w:val="28"/>
          <w:lang w:val="en-US" w:eastAsia="zh-CN" w:bidi="ar"/>
        </w:rPr>
        <w:t>资助发放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1、短期实习、冬夏令营在评审结束后一次性发放。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2、交换生、访问学者在项目完成后发放。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3、赴国外攻读学位的，学生办理好</w:t>
      </w:r>
      <w:r>
        <w:rPr>
          <w:rFonts w:hint="eastAsia" w:ascii="仿宋" w:hAnsi="仿宋" w:eastAsia="仿宋" w:cs="仿宋"/>
          <w:i w:val="0"/>
          <w:caps w:val="0"/>
          <w:color w:val="000000"/>
          <w:spacing w:val="0"/>
          <w:kern w:val="0"/>
          <w:sz w:val="28"/>
          <w:szCs w:val="28"/>
          <w:highlight w:val="none"/>
          <w:lang w:val="en-US" w:eastAsia="zh-CN" w:bidi="ar"/>
        </w:rPr>
        <w:t>入学</w:t>
      </w:r>
      <w:r>
        <w:rPr>
          <w:rFonts w:hint="eastAsia" w:ascii="仿宋" w:hAnsi="仿宋" w:eastAsia="仿宋" w:cs="仿宋"/>
          <w:i w:val="0"/>
          <w:caps w:val="0"/>
          <w:color w:val="000000"/>
          <w:spacing w:val="0"/>
          <w:kern w:val="0"/>
          <w:sz w:val="28"/>
          <w:szCs w:val="28"/>
          <w:lang w:val="en-US" w:eastAsia="zh-CN" w:bidi="ar"/>
        </w:rPr>
        <w:t>手续后发放70%，获得相应学位后发放30%。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4、因资金发放产生的税费由受助个人承担。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第七条 </w:t>
      </w:r>
      <w:r>
        <w:rPr>
          <w:rStyle w:val="5"/>
          <w:rFonts w:hint="eastAsia" w:ascii="仿宋" w:hAnsi="仿宋" w:eastAsia="仿宋" w:cs="仿宋"/>
          <w:i w:val="0"/>
          <w:caps w:val="0"/>
          <w:color w:val="000000"/>
          <w:spacing w:val="0"/>
          <w:kern w:val="0"/>
          <w:sz w:val="28"/>
          <w:szCs w:val="28"/>
          <w:lang w:val="en-US" w:eastAsia="zh-CN" w:bidi="ar"/>
        </w:rPr>
        <w:t>跟踪管理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1、获助学生在境外学习期间遵守相关法律法规及校规校纪，无违法违纪行为。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2、获助学生在境外学习认真刻苦，成绩优良，按时完成学业。若无法完成学业，收回已发放的资助，剩余资助经费将不再发放。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3、获助学生应关心母校发展，在适当的时候对母校进行必要的宣传和支持。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4、获助学生完成交流（学习）项目后，应在半年内向在校生进行宣讲和经验分享。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Style w:val="5"/>
          <w:rFonts w:hint="eastAsia" w:ascii="仿宋" w:hAnsi="仿宋" w:eastAsia="仿宋" w:cs="仿宋"/>
          <w:i w:val="0"/>
          <w:caps w:val="0"/>
          <w:color w:val="000000"/>
          <w:spacing w:val="0"/>
          <w:kern w:val="0"/>
          <w:sz w:val="28"/>
          <w:szCs w:val="28"/>
          <w:lang w:val="en-US" w:eastAsia="zh-CN" w:bidi="ar"/>
        </w:rPr>
        <w:t>第八条附则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1、本实施细则自颁布之日起生效，实施五年。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2、本实施细则的最终解释权属法学一流学科建设执行委员会。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color w:val="333333"/>
          <w:sz w:val="28"/>
          <w:szCs w:val="28"/>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附：</w:t>
      </w:r>
    </w:p>
    <w:p>
      <w:pPr>
        <w:pStyle w:val="2"/>
        <w:jc w:val="center"/>
        <w:rPr>
          <w:rFonts w:hint="eastAsia"/>
          <w:lang w:eastAsia="zh-CN"/>
        </w:rPr>
      </w:pPr>
      <w:r>
        <w:rPr>
          <w:rFonts w:hint="eastAsia"/>
          <w:lang w:eastAsia="zh-CN"/>
        </w:rPr>
        <w:t>“雏鹰扶持计划”资助攻读学位高校参考目录</w:t>
      </w:r>
    </w:p>
    <w:tbl>
      <w:tblPr>
        <w:tblStyle w:val="6"/>
        <w:tblW w:w="8107" w:type="dxa"/>
        <w:tblInd w:w="0" w:type="dxa"/>
        <w:shd w:val="clear" w:color="auto" w:fill="auto"/>
        <w:tblLayout w:type="fixed"/>
        <w:tblCellMar>
          <w:top w:w="0" w:type="dxa"/>
          <w:left w:w="0" w:type="dxa"/>
          <w:bottom w:w="0" w:type="dxa"/>
          <w:right w:w="0" w:type="dxa"/>
        </w:tblCellMar>
      </w:tblPr>
      <w:tblGrid>
        <w:gridCol w:w="1296"/>
        <w:gridCol w:w="648"/>
        <w:gridCol w:w="3718"/>
        <w:gridCol w:w="2445"/>
      </w:tblGrid>
      <w:tr>
        <w:tblPrEx>
          <w:shd w:val="clear" w:color="auto" w:fill="auto"/>
          <w:tblLayout w:type="fixed"/>
          <w:tblCellMar>
            <w:top w:w="0" w:type="dxa"/>
            <w:left w:w="0" w:type="dxa"/>
            <w:bottom w:w="0" w:type="dxa"/>
            <w:right w:w="0" w:type="dxa"/>
          </w:tblCellMar>
        </w:tblPrEx>
        <w:trPr>
          <w:trHeight w:val="22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等级</w:t>
            </w:r>
          </w:p>
        </w:tc>
        <w:tc>
          <w:tcPr>
            <w:tcW w:w="648"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序号</w:t>
            </w:r>
          </w:p>
        </w:tc>
        <w:tc>
          <w:tcPr>
            <w:tcW w:w="3718"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学校</w:t>
            </w:r>
          </w:p>
        </w:tc>
        <w:tc>
          <w:tcPr>
            <w:tcW w:w="2445"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国家（地区）</w:t>
            </w:r>
          </w:p>
        </w:tc>
      </w:tr>
      <w:tr>
        <w:tblPrEx>
          <w:tblLayout w:type="fixed"/>
          <w:tblCellMar>
            <w:top w:w="0" w:type="dxa"/>
            <w:left w:w="0" w:type="dxa"/>
            <w:bottom w:w="0" w:type="dxa"/>
            <w:right w:w="0" w:type="dxa"/>
          </w:tblCellMar>
        </w:tblPrEx>
        <w:trPr>
          <w:trHeight w:val="228" w:hRule="atLeast"/>
        </w:trPr>
        <w:tc>
          <w:tcPr>
            <w:tcW w:w="1296" w:type="dxa"/>
            <w:vMerge w:val="restart"/>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一类</w:t>
            </w: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哈佛大学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2</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牛津大学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3</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剑桥大学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4</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耶鲁大学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5</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斯坦福大学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6</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纽约大学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7</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伦敦政治经济学院</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8</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墨尔本大学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澳大利亚</w:t>
            </w:r>
          </w:p>
        </w:tc>
      </w:tr>
      <w:tr>
        <w:tblPrEx>
          <w:tblLayout w:type="fixed"/>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9</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东京大学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日本</w:t>
            </w:r>
          </w:p>
        </w:tc>
      </w:tr>
      <w:tr>
        <w:tblPrEx>
          <w:tblLayout w:type="fixed"/>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10</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海德堡大学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德国</w:t>
            </w:r>
          </w:p>
        </w:tc>
      </w:tr>
      <w:tr>
        <w:tblPrEx>
          <w:tblLayout w:type="fixed"/>
          <w:tblCellMar>
            <w:top w:w="0" w:type="dxa"/>
            <w:left w:w="0" w:type="dxa"/>
            <w:bottom w:w="0" w:type="dxa"/>
            <w:right w:w="0" w:type="dxa"/>
          </w:tblCellMar>
        </w:tblPrEx>
        <w:trPr>
          <w:trHeight w:val="228"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二类</w:t>
            </w: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加州伯克利分校</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2</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哥伦比亚大学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3</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芝加哥大学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4</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伦敦大学学院</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5</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悉尼大学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澳大利亚</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6</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新加坡国立大学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新加坡</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7</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蒙特利尔大学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加拿大</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8</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伦敦国王学院</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9</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乔治城大学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10</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爱丁堡大学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11</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巴黎第一大学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法国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12</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莫纳什大学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澳大利亚</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13</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莱顿大学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荷兰</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14</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华盛顿大学圣路易斯分校</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15</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慕尼黑大学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德国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16</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科隆大学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德国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17</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埃默里大学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18</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罗马第一大学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意大利</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19</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特伦托大学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意大利</w:t>
            </w:r>
          </w:p>
        </w:tc>
      </w:tr>
      <w:tr>
        <w:tblPrEx>
          <w:tblLayout w:type="fixed"/>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20</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宾夕法尼亚州立大学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76" w:lineRule="atLeast"/>
        <w:ind w:left="0" w:right="0"/>
        <w:jc w:val="center"/>
        <w:rPr>
          <w:rFonts w:hint="eastAsia" w:ascii="仿宋" w:hAnsi="仿宋" w:eastAsia="仿宋" w:cs="仿宋"/>
          <w:color w:val="E2E2E2"/>
          <w:sz w:val="28"/>
          <w:szCs w:val="28"/>
        </w:rPr>
      </w:pPr>
      <w:r>
        <w:rPr>
          <w:rFonts w:hint="eastAsia" w:ascii="仿宋" w:hAnsi="仿宋" w:eastAsia="仿宋" w:cs="仿宋"/>
          <w:i w:val="0"/>
          <w:caps w:val="0"/>
          <w:color w:val="000000"/>
          <w:spacing w:val="0"/>
          <w:kern w:val="0"/>
          <w:sz w:val="28"/>
          <w:szCs w:val="28"/>
          <w:lang w:val="en-US" w:eastAsia="zh-CN" w:bidi="ar"/>
        </w:rPr>
        <w:t>  </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46CEA"/>
    <w:rsid w:val="0B446CEA"/>
    <w:rsid w:val="15271856"/>
    <w:rsid w:val="1A732E4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微软雅黑 Light" w:cs="宋体"/>
      <w:color w:val="000000"/>
      <w:kern w:val="2"/>
      <w:sz w:val="24"/>
      <w:szCs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2018-11-16T02:12:00Z</dcterms:created>
  <dc:creator>ch2012wh</dc:creator>
  <cp:lastModifiedBy>ch2012wh</cp:lastModifiedBy>
  <cp:lastPrinted>2018-11-16T02:59:00Z</cp:lastPrinted>
  <dcterms:modified xsi:type="dcterms:W3CDTF">2018-11-19T02:08:13Z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